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ind w:left="0" w:leftChars="0" w:right="0" w:rightChars="0"/>
        <w:jc w:val="center"/>
        <w:textAlignment w:val="auto"/>
        <w:outlineLvl w:val="0"/>
        <w:rPr>
          <w:rFonts w:ascii="方正小标宋简体" w:hAnsi="Times New Roman" w:eastAsia="方正小标宋简体" w:cs="Times New Roman"/>
          <w:b w:val="0"/>
          <w:bCs/>
          <w:color w:val="000000"/>
          <w:kern w:val="0"/>
          <w:sz w:val="44"/>
          <w:szCs w:val="44"/>
        </w:rPr>
      </w:pPr>
      <w:r>
        <w:rPr>
          <w:rFonts w:hint="eastAsia" w:ascii="方正小标宋简体" w:hAnsi="Times New Roman" w:eastAsia="方正小标宋简体" w:cs="Times New Roman"/>
          <w:b w:val="0"/>
          <w:bCs/>
          <w:color w:val="000000"/>
          <w:kern w:val="0"/>
          <w:sz w:val="44"/>
          <w:szCs w:val="44"/>
        </w:rPr>
        <w:t>东莞市建设工程项目审批服务事项</w:t>
      </w:r>
    </w:p>
    <w:p>
      <w:pPr>
        <w:keepNext w:val="0"/>
        <w:keepLines w:val="0"/>
        <w:pageBreakBefore w:val="0"/>
        <w:widowControl/>
        <w:kinsoku/>
        <w:wordWrap/>
        <w:overflowPunct/>
        <w:topLinePunct w:val="0"/>
        <w:autoSpaceDE/>
        <w:autoSpaceDN/>
        <w:bidi w:val="0"/>
        <w:spacing w:line="600" w:lineRule="exact"/>
        <w:ind w:left="0" w:leftChars="0" w:right="0" w:rightChars="0"/>
        <w:jc w:val="center"/>
        <w:textAlignment w:val="auto"/>
        <w:outlineLvl w:val="0"/>
        <w:rPr>
          <w:rFonts w:ascii="方正小标宋简体" w:hAnsi="Times New Roman" w:eastAsia="方正小标宋简体" w:cs="Times New Roman"/>
          <w:b w:val="0"/>
          <w:bCs/>
          <w:color w:val="000000"/>
          <w:kern w:val="0"/>
          <w:sz w:val="44"/>
          <w:szCs w:val="44"/>
        </w:rPr>
      </w:pPr>
      <w:r>
        <w:rPr>
          <w:rFonts w:hint="eastAsia" w:ascii="方正小标宋简体" w:hAnsi="Times New Roman" w:eastAsia="方正小标宋简体" w:cs="Times New Roman"/>
          <w:b w:val="0"/>
          <w:bCs/>
          <w:color w:val="000000"/>
          <w:kern w:val="0"/>
          <w:sz w:val="44"/>
          <w:szCs w:val="44"/>
        </w:rPr>
        <w:t>容缺受理审查</w:t>
      </w:r>
      <w:r>
        <w:rPr>
          <w:rFonts w:hint="eastAsia" w:ascii="方正小标宋简体" w:hAnsi="Times New Roman" w:eastAsia="方正小标宋简体" w:cs="Times New Roman"/>
          <w:b w:val="0"/>
          <w:bCs/>
          <w:color w:val="000000"/>
          <w:kern w:val="0"/>
          <w:sz w:val="44"/>
          <w:szCs w:val="44"/>
          <w:lang w:eastAsia="zh-CN"/>
        </w:rPr>
        <w:t>实施办法</w:t>
      </w:r>
      <w:r>
        <w:rPr>
          <w:rFonts w:hint="eastAsia" w:ascii="方正小标宋简体" w:hAnsi="Times New Roman" w:eastAsia="方正小标宋简体" w:cs="Times New Roman"/>
          <w:b w:val="0"/>
          <w:bCs/>
          <w:color w:val="000000"/>
          <w:kern w:val="0"/>
          <w:sz w:val="44"/>
          <w:szCs w:val="44"/>
        </w:rPr>
        <w:t>（试行）</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center"/>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（征求意见稿）</w:t>
      </w:r>
    </w:p>
    <w:p>
      <w:pPr>
        <w:keepNext w:val="0"/>
        <w:keepLines w:val="0"/>
        <w:pageBreakBefore w:val="0"/>
        <w:kinsoku/>
        <w:wordWrap/>
        <w:overflowPunct/>
        <w:topLinePunct w:val="0"/>
        <w:autoSpaceDE/>
        <w:autoSpaceDN/>
        <w:bidi w:val="0"/>
        <w:spacing w:line="600" w:lineRule="exact"/>
        <w:ind w:left="0" w:leftChars="0" w:right="0" w:rightChars="0" w:firstLine="640" w:firstLineChars="200"/>
        <w:jc w:val="center"/>
        <w:textAlignment w:val="auto"/>
        <w:rPr>
          <w:rFonts w:hint="eastAsia" w:ascii="楷体_GB2312" w:hAnsi="楷体_GB2312" w:eastAsia="楷体_GB2312" w:cs="楷体_GB2312"/>
          <w:b w:val="0"/>
          <w:bCs/>
          <w:sz w:val="32"/>
          <w:szCs w:val="32"/>
          <w:lang w:eastAsia="zh-CN"/>
        </w:rPr>
      </w:pP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ascii="仿宋_GB2312" w:eastAsia="仿宋_GB2312"/>
          <w:b w:val="0"/>
          <w:bCs/>
          <w:sz w:val="32"/>
          <w:szCs w:val="32"/>
        </w:rPr>
      </w:pPr>
      <w:r>
        <w:rPr>
          <w:rFonts w:hint="eastAsia" w:ascii="黑体" w:hAnsi="黑体" w:eastAsia="黑体"/>
          <w:b w:val="0"/>
          <w:bCs/>
          <w:sz w:val="32"/>
          <w:szCs w:val="32"/>
        </w:rPr>
        <w:t>第一条</w:t>
      </w:r>
      <w:r>
        <w:rPr>
          <w:rFonts w:hint="eastAsia" w:ascii="仿宋_GB2312" w:eastAsia="仿宋_GB2312"/>
          <w:b w:val="0"/>
          <w:bCs/>
          <w:sz w:val="32"/>
          <w:szCs w:val="32"/>
        </w:rPr>
        <w:t xml:space="preserve"> 为推进落实“放管服”改革，优化建设工程项目行政审批流程，提高审批效率和服务效能，营造良好的政务环境和营商环境，根据《东莞市建设工程项目审批制度专项改革试点方案》、《东莞市优化建设工程项目审批流程实施办法》（东行改〔</w:t>
      </w:r>
      <w:r>
        <w:rPr>
          <w:rFonts w:ascii="仿宋_GB2312" w:eastAsia="仿宋_GB2312"/>
          <w:b w:val="0"/>
          <w:bCs/>
          <w:sz w:val="32"/>
          <w:szCs w:val="32"/>
        </w:rPr>
        <w:t>2018〕1 号</w:t>
      </w:r>
      <w:r>
        <w:rPr>
          <w:rFonts w:hint="eastAsia" w:ascii="仿宋_GB2312" w:eastAsia="仿宋_GB2312"/>
          <w:b w:val="0"/>
          <w:bCs/>
          <w:sz w:val="32"/>
          <w:szCs w:val="32"/>
        </w:rPr>
        <w:t>）和《东莞市企业投资建设工程项目告知承诺制审批管理办法》（</w:t>
      </w:r>
      <w:r>
        <w:rPr>
          <w:rFonts w:ascii="仿宋_GB2312" w:eastAsia="仿宋_GB2312"/>
          <w:b w:val="0"/>
          <w:bCs/>
          <w:sz w:val="32"/>
          <w:szCs w:val="32"/>
        </w:rPr>
        <w:t>东府办〔2018〕81号</w:t>
      </w:r>
      <w:r>
        <w:rPr>
          <w:rFonts w:hint="eastAsia" w:ascii="仿宋_GB2312" w:eastAsia="仿宋_GB2312"/>
          <w:b w:val="0"/>
          <w:bCs/>
          <w:sz w:val="32"/>
          <w:szCs w:val="32"/>
        </w:rPr>
        <w:t>）等文件精神，结合我市实际，制定本指南。</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ascii="仿宋_GB2312" w:eastAsia="仿宋_GB2312"/>
          <w:b w:val="0"/>
          <w:bCs/>
          <w:sz w:val="32"/>
          <w:szCs w:val="32"/>
        </w:rPr>
      </w:pPr>
      <w:r>
        <w:rPr>
          <w:rFonts w:hint="eastAsia" w:ascii="黑体" w:hAnsi="黑体" w:eastAsia="黑体"/>
          <w:b w:val="0"/>
          <w:bCs/>
          <w:sz w:val="32"/>
          <w:szCs w:val="32"/>
        </w:rPr>
        <w:t>第二条</w:t>
      </w:r>
      <w:r>
        <w:rPr>
          <w:rFonts w:hint="eastAsia" w:ascii="仿宋_GB2312" w:eastAsia="仿宋_GB2312"/>
          <w:b w:val="0"/>
          <w:bCs/>
          <w:sz w:val="32"/>
          <w:szCs w:val="32"/>
        </w:rPr>
        <w:t xml:space="preserve"> 本指南所称“容缺受理”是指对基本条件具备、主要申请材料齐全且符合法定形式，但次要条件或手续有欠缺的政务服务事项，经过自然人、法人和非法人组织（以下统称</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申请人”</w:t>
      </w:r>
      <w:r>
        <w:rPr>
          <w:rFonts w:hint="eastAsia" w:ascii="仿宋_GB2312" w:eastAsia="仿宋_GB2312"/>
          <w:b w:val="0"/>
          <w:bCs/>
          <w:sz w:val="32"/>
          <w:szCs w:val="32"/>
        </w:rPr>
        <w:t>）作出相应承诺后，政务服务部门先予受理，当场一次性告知需补正的材料、补正形式、时限和超期处理办法，并进行审查；在申请人补正全部材料后，在承诺办结时限内及时出具办理结果意见，颁发相关批文、证照的制度。</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lang w:val="en-US" w:eastAsia="zh-CN"/>
        </w:rPr>
      </w:pPr>
      <w:r>
        <w:rPr>
          <w:rFonts w:hint="eastAsia" w:ascii="黑体" w:hAnsi="黑体" w:eastAsia="黑体"/>
          <w:b w:val="0"/>
          <w:bCs/>
          <w:sz w:val="32"/>
          <w:szCs w:val="32"/>
        </w:rPr>
        <w:t>第三条</w:t>
      </w:r>
      <w:r>
        <w:rPr>
          <w:rFonts w:hint="eastAsia" w:ascii="仿宋_GB2312" w:eastAsia="仿宋_GB2312"/>
          <w:b w:val="0"/>
          <w:bCs/>
          <w:sz w:val="32"/>
          <w:szCs w:val="32"/>
        </w:rPr>
        <w:t xml:space="preserve"> 原则上除即办件和上报件外，纳入建设工程项目审批专区办理的行政权力事项及公共服务事项，应实行容缺受理</w:t>
      </w:r>
      <w:r>
        <w:rPr>
          <w:rFonts w:hint="eastAsia" w:ascii="仿宋_GB2312" w:eastAsia="仿宋_GB2312"/>
          <w:b w:val="0"/>
          <w:bCs/>
          <w:sz w:val="32"/>
          <w:szCs w:val="32"/>
          <w:lang w:eastAsia="zh-CN"/>
        </w:rPr>
        <w:t>；审批部门以告知承诺制审批方式开展</w:t>
      </w:r>
      <w:r>
        <w:rPr>
          <w:rFonts w:hint="eastAsia" w:ascii="仿宋_GB2312" w:eastAsia="仿宋_GB2312"/>
          <w:b w:val="0"/>
          <w:bCs/>
          <w:sz w:val="32"/>
          <w:szCs w:val="32"/>
          <w:lang w:val="en-US" w:eastAsia="zh-CN"/>
        </w:rPr>
        <w:t>审批的</w:t>
      </w:r>
      <w:r>
        <w:rPr>
          <w:rFonts w:hint="eastAsia" w:ascii="仿宋_GB2312" w:eastAsia="仿宋_GB2312"/>
          <w:b w:val="0"/>
          <w:bCs/>
          <w:sz w:val="32"/>
          <w:szCs w:val="32"/>
          <w:lang w:eastAsia="zh-CN"/>
        </w:rPr>
        <w:t>建设工程项目事项，</w:t>
      </w:r>
      <w:r>
        <w:rPr>
          <w:rFonts w:hint="eastAsia" w:ascii="仿宋_GB2312" w:eastAsia="仿宋_GB2312"/>
          <w:b w:val="0"/>
          <w:bCs/>
          <w:sz w:val="32"/>
          <w:szCs w:val="32"/>
          <w:lang w:val="en-US" w:eastAsia="zh-CN"/>
        </w:rPr>
        <w:t>若申请人选择按基本建设程序和要求进行审批的，应当最大限度实施容缺审批。</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ascii="仿宋_GB2312" w:eastAsia="仿宋_GB2312"/>
          <w:b w:val="0"/>
          <w:bCs/>
          <w:sz w:val="32"/>
          <w:szCs w:val="32"/>
        </w:rPr>
      </w:pPr>
      <w:r>
        <w:rPr>
          <w:rFonts w:hint="eastAsia" w:ascii="黑体" w:hAnsi="黑体" w:eastAsia="黑体"/>
          <w:b w:val="0"/>
          <w:bCs/>
          <w:sz w:val="32"/>
          <w:szCs w:val="32"/>
        </w:rPr>
        <w:t xml:space="preserve">第四条 </w:t>
      </w:r>
      <w:r>
        <w:rPr>
          <w:rFonts w:hint="eastAsia" w:ascii="仿宋_GB2312" w:eastAsia="仿宋_GB2312"/>
          <w:b w:val="0"/>
          <w:bCs/>
          <w:sz w:val="32"/>
          <w:szCs w:val="32"/>
        </w:rPr>
        <w:t>容缺受理以申请人自愿申请为原则，申请人提出申请并作出承诺的，方可进行容缺受理。</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ascii="仿宋_GB2312" w:eastAsia="仿宋_GB2312"/>
          <w:b w:val="0"/>
          <w:bCs/>
          <w:sz w:val="32"/>
          <w:szCs w:val="32"/>
        </w:rPr>
      </w:pPr>
      <w:r>
        <w:rPr>
          <w:rFonts w:hint="eastAsia" w:ascii="黑体" w:hAnsi="黑体" w:eastAsia="黑体"/>
          <w:b w:val="0"/>
          <w:bCs/>
          <w:sz w:val="32"/>
          <w:szCs w:val="32"/>
        </w:rPr>
        <w:t>第五条</w:t>
      </w:r>
      <w:r>
        <w:rPr>
          <w:rFonts w:hint="eastAsia" w:ascii="仿宋_GB2312" w:eastAsia="仿宋_GB2312"/>
          <w:b w:val="0"/>
          <w:bCs/>
          <w:sz w:val="32"/>
          <w:szCs w:val="32"/>
        </w:rPr>
        <w:t xml:space="preserve"> 各政务服务部门负责梳理本部门政务服务事项的容缺受理材料并积极参与</w:t>
      </w:r>
      <w:r>
        <w:rPr>
          <w:rFonts w:hint="eastAsia" w:ascii="仿宋_GB2312" w:eastAsia="仿宋_GB2312"/>
          <w:b w:val="0"/>
          <w:bCs/>
          <w:sz w:val="32"/>
          <w:szCs w:val="32"/>
          <w:lang w:val="en-US" w:eastAsia="zh-CN"/>
        </w:rPr>
        <w:t>配合</w:t>
      </w:r>
      <w:r>
        <w:rPr>
          <w:rFonts w:hint="eastAsia" w:ascii="仿宋_GB2312" w:eastAsia="仿宋_GB2312"/>
          <w:b w:val="0"/>
          <w:bCs/>
          <w:sz w:val="32"/>
          <w:szCs w:val="32"/>
        </w:rPr>
        <w:t>政务服务办开展容缺受理</w:t>
      </w:r>
      <w:r>
        <w:rPr>
          <w:rFonts w:hint="eastAsia" w:ascii="仿宋_GB2312" w:eastAsia="仿宋_GB2312"/>
          <w:b w:val="0"/>
          <w:bCs/>
          <w:sz w:val="32"/>
          <w:szCs w:val="32"/>
          <w:lang w:val="en-US" w:eastAsia="zh-CN"/>
        </w:rPr>
        <w:t>的</w:t>
      </w:r>
      <w:r>
        <w:rPr>
          <w:rFonts w:hint="eastAsia" w:ascii="仿宋_GB2312" w:eastAsia="仿宋_GB2312"/>
          <w:b w:val="0"/>
          <w:bCs/>
          <w:sz w:val="32"/>
          <w:szCs w:val="32"/>
        </w:rPr>
        <w:t>材料梳理工作；市政务服务数据管理局主管建设工程项目审批专区的政务服务容缺受理监督管理工作，对思想不重视、工作推进不力的部门进行公开通报，按规定追究有关单位、人员责任。</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ascii="仿宋_GB2312" w:eastAsia="仿宋_GB2312"/>
          <w:b w:val="0"/>
          <w:bCs/>
          <w:sz w:val="32"/>
          <w:szCs w:val="32"/>
        </w:rPr>
      </w:pPr>
      <w:r>
        <w:rPr>
          <w:rFonts w:hint="eastAsia" w:ascii="黑体" w:hAnsi="黑体" w:eastAsia="黑体"/>
          <w:b w:val="0"/>
          <w:bCs/>
          <w:sz w:val="32"/>
          <w:szCs w:val="32"/>
        </w:rPr>
        <w:t xml:space="preserve">第六条 </w:t>
      </w:r>
      <w:r>
        <w:rPr>
          <w:rFonts w:hint="eastAsia" w:ascii="仿宋_GB2312" w:eastAsia="仿宋_GB2312"/>
          <w:b w:val="0"/>
          <w:bCs/>
          <w:sz w:val="32"/>
          <w:szCs w:val="32"/>
        </w:rPr>
        <w:t>容缺受理的材料为相关法律法规明确需申请人提供的申请材料中除主要申</w:t>
      </w:r>
      <w:r>
        <w:rPr>
          <w:rFonts w:hint="eastAsia" w:ascii="仿宋_GB2312" w:eastAsia="仿宋_GB2312"/>
          <w:b w:val="0"/>
          <w:bCs/>
          <w:sz w:val="32"/>
          <w:szCs w:val="32"/>
          <w:lang w:val="en-US" w:eastAsia="zh-CN"/>
        </w:rPr>
        <w:t>请</w:t>
      </w:r>
      <w:r>
        <w:rPr>
          <w:rFonts w:hint="eastAsia" w:ascii="仿宋_GB2312" w:eastAsia="仿宋_GB2312"/>
          <w:b w:val="0"/>
          <w:bCs/>
          <w:sz w:val="32"/>
          <w:szCs w:val="32"/>
        </w:rPr>
        <w:t>材料外，其余</w:t>
      </w:r>
      <w:r>
        <w:rPr>
          <w:rFonts w:hint="eastAsia" w:ascii="仿宋_GB2312" w:eastAsia="仿宋_GB2312"/>
          <w:b w:val="0"/>
          <w:bCs/>
          <w:sz w:val="32"/>
          <w:szCs w:val="32"/>
          <w:lang w:val="en-US" w:eastAsia="zh-CN"/>
        </w:rPr>
        <w:t>的</w:t>
      </w:r>
      <w:r>
        <w:rPr>
          <w:rFonts w:hint="eastAsia" w:ascii="仿宋_GB2312" w:eastAsia="仿宋_GB2312"/>
          <w:b w:val="0"/>
          <w:bCs/>
          <w:sz w:val="32"/>
          <w:szCs w:val="32"/>
        </w:rPr>
        <w:t>次要条件或手续（副件）有欠缺的材料。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（一）以下为容缺受理材料所涉及的范围：</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1.不直接违反国家及地方法律法规；</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2.不直接影响对建设项目的建设规划、建设工程主体结构安全、土地合法利用、符合环境保护等的评估判断；</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color w:val="0000FF"/>
          <w:sz w:val="32"/>
          <w:szCs w:val="32"/>
        </w:rPr>
      </w:pPr>
      <w:r>
        <w:rPr>
          <w:rFonts w:hint="eastAsia" w:ascii="仿宋_GB2312" w:eastAsia="仿宋_GB2312"/>
          <w:b w:val="0"/>
          <w:bCs/>
          <w:sz w:val="32"/>
          <w:szCs w:val="32"/>
        </w:rPr>
        <w:t>3.不造成缺项材料永久性缺项或后补材料与已审核材料的不一致；</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lang w:val="en-US" w:eastAsia="zh-CN"/>
        </w:rPr>
        <w:t>4</w:t>
      </w:r>
      <w:r>
        <w:rPr>
          <w:rFonts w:hint="eastAsia" w:ascii="仿宋_GB2312" w:eastAsia="仿宋_GB2312"/>
          <w:b w:val="0"/>
          <w:bCs/>
          <w:sz w:val="32"/>
          <w:szCs w:val="32"/>
        </w:rPr>
        <w:t>.其他可以容缺受理的材料。</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（二）一些容缺受理材料的示例：</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1.证明类，如申请人身份证明，缴费证明，企业资信证明等。</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2.证照类，如营业执照，岗位资格证，社保登记证等。</w:t>
      </w:r>
    </w:p>
    <w:p>
      <w:pPr>
        <w:pStyle w:val="8"/>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rPr>
        <w:t>3.文书类，如企业工作人员资格证书，企业管理计划、方案、制度等。</w:t>
      </w:r>
    </w:p>
    <w:p>
      <w:pPr>
        <w:pStyle w:val="8"/>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left="0" w:leftChars="0" w:right="0" w:rightChars="0" w:firstLine="640" w:firstLineChars="200"/>
        <w:textAlignment w:val="auto"/>
        <w:rPr>
          <w:rFonts w:hint="eastAsia" w:ascii="仿宋_GB2312" w:eastAsia="仿宋_GB2312" w:hAnsiTheme="minorHAnsi" w:cstheme="minorBidi"/>
          <w:b w:val="0"/>
          <w:bCs/>
          <w:kern w:val="2"/>
          <w:sz w:val="32"/>
          <w:szCs w:val="32"/>
          <w:lang w:val="en-US" w:eastAsia="zh-CN" w:bidi="ar-SA"/>
        </w:rPr>
      </w:pPr>
      <w:r>
        <w:rPr>
          <w:rFonts w:hint="eastAsia" w:ascii="黑体" w:hAnsi="黑体" w:eastAsia="黑体"/>
          <w:b w:val="0"/>
          <w:bCs/>
          <w:sz w:val="32"/>
          <w:szCs w:val="32"/>
          <w:lang w:val="en-US" w:eastAsia="zh-CN"/>
        </w:rPr>
        <w:t xml:space="preserve">第七条 </w:t>
      </w:r>
      <w:r>
        <w:rPr>
          <w:rFonts w:hint="eastAsia" w:ascii="仿宋_GB2312" w:eastAsia="仿宋_GB2312" w:hAnsiTheme="minorHAnsi" w:cstheme="minorBidi"/>
          <w:b w:val="0"/>
          <w:bCs/>
          <w:kern w:val="2"/>
          <w:sz w:val="32"/>
          <w:szCs w:val="32"/>
          <w:lang w:val="en-US" w:eastAsia="zh-CN"/>
        </w:rPr>
        <w:t>申请人承诺补正容缺材料的时限不得大于等于政务服务部门该政务服务事项的承诺办结时限前一个工作日。</w:t>
      </w:r>
    </w:p>
    <w:p>
      <w:pPr>
        <w:pStyle w:val="8"/>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left="0" w:leftChars="0" w:right="0" w:rightChars="0" w:firstLine="640" w:firstLineChars="200"/>
        <w:textAlignment w:val="auto"/>
        <w:rPr>
          <w:rFonts w:hint="eastAsia" w:ascii="仿宋_GB2312" w:eastAsia="仿宋_GB2312" w:hAnsiTheme="minorHAnsi" w:cstheme="minorBidi"/>
          <w:b w:val="0"/>
          <w:bCs/>
          <w:kern w:val="2"/>
          <w:sz w:val="32"/>
          <w:szCs w:val="32"/>
          <w:lang w:val="en-US" w:eastAsia="zh-CN"/>
        </w:rPr>
      </w:pPr>
      <w:r>
        <w:rPr>
          <w:rFonts w:hint="eastAsia" w:ascii="黑体" w:hAnsi="黑体" w:eastAsia="黑体"/>
          <w:b w:val="0"/>
          <w:bCs/>
          <w:sz w:val="32"/>
          <w:szCs w:val="32"/>
        </w:rPr>
        <w:t>第八条</w:t>
      </w:r>
      <w:r>
        <w:rPr>
          <w:rFonts w:hint="eastAsia" w:ascii="仿宋_GB2312" w:eastAsia="仿宋_GB2312"/>
          <w:b w:val="0"/>
          <w:bCs/>
          <w:sz w:val="32"/>
          <w:szCs w:val="32"/>
        </w:rPr>
        <w:t xml:space="preserve"> </w:t>
      </w:r>
      <w:r>
        <w:rPr>
          <w:rFonts w:hint="eastAsia" w:ascii="仿宋_GB2312" w:eastAsia="仿宋_GB2312" w:hAnsiTheme="minorHAnsi" w:cstheme="minorBidi"/>
          <w:b w:val="0"/>
          <w:bCs/>
          <w:kern w:val="2"/>
          <w:sz w:val="32"/>
          <w:szCs w:val="32"/>
          <w:lang w:val="en-US" w:eastAsia="zh-CN"/>
        </w:rPr>
        <w:t>申请人提出容缺受理申请，应当场作出容缺受理书面承诺。以公民名义申请的，需在承诺书签名；以企业法人或其他组织名义申请的，容缺受理承诺书应当由企业法定代表人（或授权代表）签字或加盖单位公章，若为企业法定代表人授权办理的还需提供法人授权委托书。</w:t>
      </w:r>
    </w:p>
    <w:p>
      <w:pPr>
        <w:pStyle w:val="8"/>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left="0" w:leftChars="0" w:right="0" w:rightChars="0" w:firstLine="420"/>
        <w:textAlignment w:val="auto"/>
        <w:rPr>
          <w:rFonts w:ascii="仿宋_GB2312" w:eastAsia="仿宋_GB2312" w:hAnsiTheme="minorHAnsi" w:cstheme="minorBidi"/>
          <w:b w:val="0"/>
          <w:bCs/>
          <w:kern w:val="2"/>
          <w:sz w:val="32"/>
          <w:szCs w:val="32"/>
        </w:rPr>
      </w:pPr>
      <w:r>
        <w:rPr>
          <w:rFonts w:hint="eastAsia" w:ascii="仿宋_GB2312" w:eastAsia="仿宋_GB2312" w:hAnsiTheme="minorHAnsi" w:cstheme="minorBidi"/>
          <w:b w:val="0"/>
          <w:bCs/>
          <w:kern w:val="2"/>
          <w:sz w:val="32"/>
          <w:szCs w:val="32"/>
        </w:rPr>
        <w:t>申请人愿意作出承诺的，应当提供申请人基本信息，并对下列内容作出确认和承诺：</w:t>
      </w:r>
    </w:p>
    <w:p>
      <w:pPr>
        <w:pStyle w:val="8"/>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left="0" w:leftChars="0" w:right="0" w:rightChars="0" w:firstLine="420"/>
        <w:textAlignment w:val="auto"/>
        <w:rPr>
          <w:rFonts w:ascii="仿宋_GB2312" w:eastAsia="仿宋_GB2312" w:hAnsiTheme="minorHAnsi" w:cstheme="minorBidi"/>
          <w:b w:val="0"/>
          <w:bCs/>
          <w:kern w:val="2"/>
          <w:sz w:val="32"/>
          <w:szCs w:val="32"/>
        </w:rPr>
      </w:pPr>
      <w:r>
        <w:rPr>
          <w:rFonts w:hint="eastAsia" w:ascii="仿宋_GB2312" w:eastAsia="仿宋_GB2312" w:hAnsiTheme="minorHAnsi" w:cstheme="minorBidi"/>
          <w:b w:val="0"/>
          <w:bCs/>
          <w:kern w:val="2"/>
          <w:sz w:val="32"/>
          <w:szCs w:val="32"/>
        </w:rPr>
        <w:t>（一）所作承诺是申请人真实意思表示；</w:t>
      </w:r>
    </w:p>
    <w:p>
      <w:pPr>
        <w:pStyle w:val="8"/>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left="0" w:leftChars="0" w:right="0" w:rightChars="0" w:firstLine="420"/>
        <w:textAlignment w:val="auto"/>
        <w:rPr>
          <w:rFonts w:ascii="仿宋_GB2312" w:eastAsia="仿宋_GB2312" w:hAnsiTheme="minorHAnsi" w:cstheme="minorBidi"/>
          <w:b w:val="0"/>
          <w:bCs/>
          <w:kern w:val="2"/>
          <w:sz w:val="32"/>
          <w:szCs w:val="32"/>
        </w:rPr>
      </w:pPr>
      <w:r>
        <w:rPr>
          <w:rFonts w:hint="eastAsia" w:ascii="仿宋_GB2312" w:eastAsia="仿宋_GB2312" w:hAnsiTheme="minorHAnsi" w:cstheme="minorBidi"/>
          <w:b w:val="0"/>
          <w:bCs/>
          <w:kern w:val="2"/>
          <w:sz w:val="32"/>
          <w:szCs w:val="32"/>
        </w:rPr>
        <w:t>（二）已经知晓服务窗口人员告知的全部内容；</w:t>
      </w:r>
    </w:p>
    <w:p>
      <w:pPr>
        <w:pStyle w:val="8"/>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left="0" w:leftChars="0" w:right="0" w:rightChars="0" w:firstLine="420"/>
        <w:textAlignment w:val="auto"/>
        <w:rPr>
          <w:rFonts w:ascii="仿宋_GB2312" w:eastAsia="仿宋_GB2312" w:hAnsiTheme="minorHAnsi" w:cstheme="minorBidi"/>
          <w:b w:val="0"/>
          <w:bCs/>
          <w:kern w:val="2"/>
          <w:sz w:val="32"/>
          <w:szCs w:val="32"/>
        </w:rPr>
      </w:pPr>
      <w:r>
        <w:rPr>
          <w:rFonts w:hint="eastAsia" w:ascii="仿宋_GB2312" w:eastAsia="仿宋_GB2312" w:hAnsiTheme="minorHAnsi" w:cstheme="minorBidi"/>
          <w:b w:val="0"/>
          <w:bCs/>
          <w:kern w:val="2"/>
          <w:sz w:val="32"/>
          <w:szCs w:val="32"/>
        </w:rPr>
        <w:t>（三）提供的所有申请材料真实有效；</w:t>
      </w:r>
    </w:p>
    <w:p>
      <w:pPr>
        <w:pStyle w:val="8"/>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left="0" w:leftChars="0" w:right="0" w:rightChars="0" w:firstLine="420"/>
        <w:textAlignment w:val="auto"/>
        <w:rPr>
          <w:rFonts w:ascii="仿宋_GB2312" w:eastAsia="仿宋_GB2312" w:hAnsiTheme="minorHAnsi" w:cstheme="minorBidi"/>
          <w:b w:val="0"/>
          <w:bCs/>
          <w:kern w:val="2"/>
          <w:sz w:val="32"/>
          <w:szCs w:val="32"/>
        </w:rPr>
      </w:pPr>
      <w:r>
        <w:rPr>
          <w:rFonts w:hint="eastAsia" w:ascii="仿宋_GB2312" w:eastAsia="仿宋_GB2312" w:hAnsiTheme="minorHAnsi" w:cstheme="minorBidi"/>
          <w:b w:val="0"/>
          <w:bCs/>
          <w:kern w:val="2"/>
          <w:sz w:val="32"/>
          <w:szCs w:val="32"/>
        </w:rPr>
        <w:t>（四）在承诺期限内补正容缺受理材料；</w:t>
      </w:r>
    </w:p>
    <w:p>
      <w:pPr>
        <w:pStyle w:val="8"/>
        <w:keepNext w:val="0"/>
        <w:keepLines w:val="0"/>
        <w:pageBreakBefore w:val="0"/>
        <w:shd w:val="clear" w:color="auto" w:fill="FFFFFF"/>
        <w:kinsoku/>
        <w:wordWrap/>
        <w:overflowPunct/>
        <w:topLinePunct w:val="0"/>
        <w:autoSpaceDE/>
        <w:autoSpaceDN/>
        <w:bidi w:val="0"/>
        <w:spacing w:before="0" w:beforeAutospacing="0" w:after="0" w:afterAutospacing="0" w:line="600" w:lineRule="exact"/>
        <w:ind w:left="0" w:leftChars="0" w:right="0" w:rightChars="0" w:firstLine="420"/>
        <w:textAlignment w:val="auto"/>
        <w:rPr>
          <w:rFonts w:hint="eastAsia" w:ascii="仿宋_GB2312" w:eastAsia="仿宋_GB2312"/>
          <w:b w:val="0"/>
          <w:bCs/>
          <w:sz w:val="32"/>
          <w:szCs w:val="32"/>
        </w:rPr>
      </w:pPr>
      <w:r>
        <w:rPr>
          <w:rFonts w:hint="eastAsia" w:ascii="仿宋_GB2312" w:eastAsia="仿宋_GB2312" w:hAnsiTheme="minorHAnsi" w:cstheme="minorBidi"/>
          <w:b w:val="0"/>
          <w:bCs/>
          <w:kern w:val="2"/>
          <w:sz w:val="32"/>
          <w:szCs w:val="32"/>
        </w:rPr>
        <w:t>（五）愿意承担违反承诺的法律责任。</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ascii="仿宋_GB2312" w:eastAsia="仿宋_GB2312"/>
          <w:b w:val="0"/>
          <w:bCs/>
          <w:sz w:val="32"/>
          <w:szCs w:val="32"/>
        </w:rPr>
      </w:pPr>
      <w:r>
        <w:rPr>
          <w:rFonts w:hint="eastAsia" w:ascii="黑体" w:hAnsi="黑体" w:eastAsia="黑体"/>
          <w:b w:val="0"/>
          <w:bCs/>
          <w:sz w:val="32"/>
          <w:szCs w:val="32"/>
        </w:rPr>
        <w:t>第</w:t>
      </w:r>
      <w:r>
        <w:rPr>
          <w:rFonts w:hint="eastAsia" w:ascii="黑体" w:hAnsi="黑体" w:eastAsia="黑体"/>
          <w:b w:val="0"/>
          <w:bCs/>
          <w:sz w:val="32"/>
          <w:szCs w:val="32"/>
          <w:lang w:val="en-US" w:eastAsia="zh-CN"/>
        </w:rPr>
        <w:t>九</w:t>
      </w:r>
      <w:r>
        <w:rPr>
          <w:rFonts w:hint="eastAsia" w:ascii="黑体" w:hAnsi="黑体" w:eastAsia="黑体"/>
          <w:b w:val="0"/>
          <w:bCs/>
          <w:sz w:val="32"/>
          <w:szCs w:val="32"/>
        </w:rPr>
        <w:t>条</w:t>
      </w:r>
      <w:r>
        <w:rPr>
          <w:rFonts w:hint="eastAsia" w:ascii="仿宋_GB2312" w:eastAsia="仿宋_GB2312"/>
          <w:b w:val="0"/>
          <w:bCs/>
          <w:sz w:val="32"/>
          <w:szCs w:val="32"/>
        </w:rPr>
        <w:t xml:space="preserve"> 申请人在基本条件具备、主要申请材料齐全且符合法定形式前提下，因提交的申请材料中次要条件或手续（副件）有欠缺，申请提出容缺受理，办事窗口工作人员受理办件并出具《容缺受理承诺书》一式两份（1份当场交申请人，1份存档备查），后台政务服务部门对已提交的核心材料进行初审。申请人在不超过该</w:t>
      </w:r>
      <w:r>
        <w:rPr>
          <w:rFonts w:hint="eastAsia" w:ascii="仿宋_GB2312" w:eastAsia="仿宋_GB2312"/>
          <w:b w:val="0"/>
          <w:bCs/>
          <w:sz w:val="32"/>
          <w:szCs w:val="32"/>
          <w:lang w:val="en-US" w:eastAsia="zh-CN"/>
        </w:rPr>
        <w:t>政务</w:t>
      </w:r>
      <w:r>
        <w:rPr>
          <w:rFonts w:hint="eastAsia" w:ascii="仿宋_GB2312" w:eastAsia="仿宋_GB2312"/>
          <w:b w:val="0"/>
          <w:bCs/>
          <w:sz w:val="32"/>
          <w:szCs w:val="32"/>
        </w:rPr>
        <w:t>服务事项的承诺办理时限前一个工作日内把《容缺受理承诺书》及次要条件或手续（副件）</w:t>
      </w:r>
      <w:r>
        <w:rPr>
          <w:rFonts w:hint="eastAsia" w:ascii="仿宋_GB2312" w:eastAsia="仿宋_GB2312"/>
          <w:b w:val="0"/>
          <w:bCs/>
          <w:sz w:val="32"/>
          <w:szCs w:val="32"/>
          <w:lang w:val="en-US" w:eastAsia="zh-CN"/>
        </w:rPr>
        <w:t>有欠缺的材料</w:t>
      </w:r>
      <w:r>
        <w:rPr>
          <w:rFonts w:hint="eastAsia" w:ascii="仿宋_GB2312" w:eastAsia="仿宋_GB2312"/>
          <w:b w:val="0"/>
          <w:bCs/>
          <w:sz w:val="32"/>
          <w:szCs w:val="32"/>
        </w:rPr>
        <w:t>补交到办事窗口，窗口人员核实补交材料。后台政务服务部门审核办结，按普通出件流转至出证窗口出证。</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ascii="仿宋_GB2312" w:eastAsia="仿宋_GB2312"/>
          <w:b w:val="0"/>
          <w:bCs/>
          <w:sz w:val="32"/>
          <w:szCs w:val="32"/>
        </w:rPr>
      </w:pPr>
      <w:r>
        <w:rPr>
          <w:rFonts w:hint="eastAsia" w:ascii="黑体" w:hAnsi="黑体" w:eastAsia="黑体"/>
          <w:b w:val="0"/>
          <w:bCs/>
          <w:sz w:val="32"/>
          <w:szCs w:val="32"/>
        </w:rPr>
        <w:t>第</w:t>
      </w:r>
      <w:r>
        <w:rPr>
          <w:rFonts w:hint="eastAsia" w:ascii="黑体" w:hAnsi="黑体" w:eastAsia="黑体"/>
          <w:b w:val="0"/>
          <w:bCs/>
          <w:sz w:val="32"/>
          <w:szCs w:val="32"/>
          <w:lang w:val="en-US" w:eastAsia="zh-CN"/>
        </w:rPr>
        <w:t>十</w:t>
      </w:r>
      <w:r>
        <w:rPr>
          <w:rFonts w:hint="eastAsia" w:ascii="黑体" w:hAnsi="黑体" w:eastAsia="黑体"/>
          <w:b w:val="0"/>
          <w:bCs/>
          <w:sz w:val="32"/>
          <w:szCs w:val="32"/>
        </w:rPr>
        <w:t>条</w:t>
      </w:r>
      <w:r>
        <w:rPr>
          <w:rFonts w:hint="eastAsia" w:ascii="仿宋_GB2312" w:eastAsia="仿宋_GB2312"/>
          <w:b w:val="0"/>
          <w:bCs/>
          <w:sz w:val="32"/>
          <w:szCs w:val="32"/>
        </w:rPr>
        <w:t xml:space="preserve"> 申请人提交的主要申请材料齐全且符合法定形式，窗口人员应当受理；对可容缺受理的材料，窗口人员原则上应当当场一次性告知申请人补正的材料、补正形式、时限和超期处理方式。 </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黑体" w:hAnsi="黑体" w:eastAsia="黑体"/>
          <w:b w:val="0"/>
          <w:bCs/>
          <w:sz w:val="32"/>
          <w:szCs w:val="32"/>
        </w:rPr>
        <w:t>第十</w:t>
      </w:r>
      <w:r>
        <w:rPr>
          <w:rFonts w:hint="eastAsia" w:ascii="黑体" w:hAnsi="黑体" w:eastAsia="黑体"/>
          <w:b w:val="0"/>
          <w:bCs/>
          <w:sz w:val="32"/>
          <w:szCs w:val="32"/>
          <w:lang w:val="en-US" w:eastAsia="zh-CN"/>
        </w:rPr>
        <w:t>一</w:t>
      </w:r>
      <w:r>
        <w:rPr>
          <w:rFonts w:hint="eastAsia" w:ascii="黑体" w:hAnsi="黑体" w:eastAsia="黑体"/>
          <w:b w:val="0"/>
          <w:bCs/>
          <w:sz w:val="32"/>
          <w:szCs w:val="32"/>
        </w:rPr>
        <w:t>条</w:t>
      </w:r>
      <w:r>
        <w:rPr>
          <w:rFonts w:hint="eastAsia" w:ascii="仿宋_GB2312" w:eastAsia="仿宋_GB2312"/>
          <w:b w:val="0"/>
          <w:bCs/>
          <w:sz w:val="32"/>
          <w:szCs w:val="32"/>
        </w:rPr>
        <w:t xml:space="preserve"> 各政务服务部门应当按照政务服务事项运行流程办理容缺受理政务服务事项，在承诺办结时限内作出处理决定。</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ascii="仿宋_GB2312" w:eastAsia="仿宋_GB2312"/>
          <w:b w:val="0"/>
          <w:bCs/>
          <w:sz w:val="32"/>
          <w:szCs w:val="32"/>
        </w:rPr>
      </w:pPr>
      <w:r>
        <w:rPr>
          <w:rFonts w:hint="eastAsia" w:ascii="黑体" w:hAnsi="黑体" w:eastAsia="黑体"/>
          <w:b w:val="0"/>
          <w:bCs/>
          <w:sz w:val="32"/>
          <w:szCs w:val="32"/>
        </w:rPr>
        <w:t>第十</w:t>
      </w:r>
      <w:r>
        <w:rPr>
          <w:rFonts w:hint="eastAsia" w:ascii="黑体" w:hAnsi="黑体" w:eastAsia="黑体"/>
          <w:b w:val="0"/>
          <w:bCs/>
          <w:sz w:val="32"/>
          <w:szCs w:val="32"/>
          <w:lang w:val="en-US" w:eastAsia="zh-CN"/>
        </w:rPr>
        <w:t>二</w:t>
      </w:r>
      <w:r>
        <w:rPr>
          <w:rFonts w:hint="eastAsia" w:ascii="黑体" w:hAnsi="黑体" w:eastAsia="黑体"/>
          <w:b w:val="0"/>
          <w:bCs/>
          <w:sz w:val="32"/>
          <w:szCs w:val="32"/>
        </w:rPr>
        <w:t>条</w:t>
      </w:r>
      <w:r>
        <w:rPr>
          <w:rFonts w:hint="eastAsia" w:ascii="仿宋_GB2312" w:eastAsia="仿宋_GB2312"/>
          <w:b w:val="0"/>
          <w:bCs/>
          <w:sz w:val="32"/>
          <w:szCs w:val="32"/>
        </w:rPr>
        <w:t xml:space="preserve"> 申请人在承诺时限内不能补正全部材料或所补正的材料不符合要求的，容缺受理政务服务事项应当终止办理，按退件流程办结；申请人因此造成的损失由申请人自行承担。</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rPr>
      </w:pPr>
      <w:r>
        <w:rPr>
          <w:rFonts w:hint="eastAsia" w:ascii="黑体" w:hAnsi="黑体" w:eastAsia="黑体"/>
          <w:b w:val="0"/>
          <w:bCs/>
          <w:sz w:val="32"/>
          <w:szCs w:val="32"/>
        </w:rPr>
        <w:t>第十</w:t>
      </w:r>
      <w:r>
        <w:rPr>
          <w:rFonts w:hint="eastAsia" w:ascii="黑体" w:hAnsi="黑体" w:eastAsia="黑体"/>
          <w:b w:val="0"/>
          <w:bCs/>
          <w:sz w:val="32"/>
          <w:szCs w:val="32"/>
          <w:lang w:val="en-US" w:eastAsia="zh-CN"/>
        </w:rPr>
        <w:t>三</w:t>
      </w:r>
      <w:r>
        <w:rPr>
          <w:rFonts w:hint="eastAsia" w:ascii="黑体" w:hAnsi="黑体" w:eastAsia="黑体"/>
          <w:b w:val="0"/>
          <w:bCs/>
          <w:sz w:val="32"/>
          <w:szCs w:val="32"/>
        </w:rPr>
        <w:t>条</w:t>
      </w:r>
      <w:r>
        <w:rPr>
          <w:rFonts w:hint="eastAsia" w:ascii="仿宋_GB2312" w:eastAsia="仿宋_GB2312"/>
          <w:b w:val="0"/>
          <w:bCs/>
          <w:sz w:val="32"/>
          <w:szCs w:val="32"/>
        </w:rPr>
        <w:t xml:space="preserve"> 各政务服务部门应当将未履行容缺受理承诺书承诺义务的失信申请人的相关信息纳入承诺失信记录。</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highlight w:val="yellow"/>
          <w:lang w:val="en-US" w:eastAsia="zh-CN"/>
        </w:rPr>
      </w:pPr>
      <w:r>
        <w:rPr>
          <w:rFonts w:hint="eastAsia" w:ascii="黑体" w:hAnsi="黑体" w:eastAsia="黑体"/>
          <w:b w:val="0"/>
          <w:bCs/>
          <w:sz w:val="32"/>
          <w:szCs w:val="32"/>
        </w:rPr>
        <w:t>第十</w:t>
      </w:r>
      <w:r>
        <w:rPr>
          <w:rFonts w:hint="eastAsia" w:ascii="黑体" w:hAnsi="黑体" w:eastAsia="黑体"/>
          <w:b w:val="0"/>
          <w:bCs/>
          <w:sz w:val="32"/>
          <w:szCs w:val="32"/>
          <w:lang w:val="en-US" w:eastAsia="zh-CN"/>
        </w:rPr>
        <w:t>四</w:t>
      </w:r>
      <w:r>
        <w:rPr>
          <w:rFonts w:hint="eastAsia" w:ascii="黑体" w:hAnsi="黑体" w:eastAsia="黑体"/>
          <w:b w:val="0"/>
          <w:bCs/>
          <w:sz w:val="32"/>
          <w:szCs w:val="32"/>
        </w:rPr>
        <w:t>条</w:t>
      </w:r>
      <w:r>
        <w:rPr>
          <w:rFonts w:hint="eastAsia" w:ascii="黑体" w:hAnsi="黑体" w:eastAsia="黑体"/>
          <w:b w:val="0"/>
          <w:bCs/>
          <w:sz w:val="32"/>
          <w:szCs w:val="32"/>
          <w:lang w:val="en-US" w:eastAsia="zh-CN"/>
        </w:rPr>
        <w:t xml:space="preserve"> </w:t>
      </w:r>
      <w:r>
        <w:rPr>
          <w:rFonts w:hint="eastAsia" w:ascii="仿宋_GB2312" w:eastAsia="仿宋_GB2312"/>
          <w:b w:val="0"/>
          <w:bCs/>
          <w:sz w:val="32"/>
          <w:szCs w:val="32"/>
        </w:rPr>
        <w:t>在同等条件下，对不存在失信行为、社会信用状况良好的</w:t>
      </w:r>
      <w:r>
        <w:rPr>
          <w:rFonts w:hint="eastAsia" w:ascii="仿宋_GB2312" w:eastAsia="仿宋_GB2312"/>
          <w:b w:val="0"/>
          <w:bCs/>
          <w:sz w:val="32"/>
          <w:szCs w:val="32"/>
          <w:lang w:val="en-US" w:eastAsia="zh-CN"/>
        </w:rPr>
        <w:t>申请人在行政审批中，予以优先办理、容缺受理、简化程序；对存在失信行为的申请人，在行政审批中，不适用优先办理、容缺受理、简化程序等便利化措施。</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ascii="仿宋_GB2312" w:eastAsia="仿宋_GB2312"/>
          <w:b w:val="0"/>
          <w:bCs/>
          <w:color w:val="0000FF"/>
          <w:sz w:val="32"/>
          <w:szCs w:val="32"/>
          <w:highlight w:val="yellow"/>
        </w:rPr>
      </w:pPr>
      <w:r>
        <w:rPr>
          <w:rFonts w:hint="eastAsia" w:ascii="黑体" w:hAnsi="黑体" w:eastAsia="黑体"/>
          <w:b w:val="0"/>
          <w:bCs/>
          <w:sz w:val="32"/>
          <w:szCs w:val="32"/>
        </w:rPr>
        <w:t>第十</w:t>
      </w:r>
      <w:r>
        <w:rPr>
          <w:rFonts w:hint="eastAsia" w:ascii="黑体" w:hAnsi="黑体" w:eastAsia="黑体"/>
          <w:b w:val="0"/>
          <w:bCs/>
          <w:sz w:val="32"/>
          <w:szCs w:val="32"/>
          <w:lang w:val="en-US" w:eastAsia="zh-CN"/>
        </w:rPr>
        <w:t>五</w:t>
      </w:r>
      <w:r>
        <w:rPr>
          <w:rFonts w:hint="eastAsia" w:ascii="黑体" w:hAnsi="黑体" w:eastAsia="黑体"/>
          <w:b w:val="0"/>
          <w:bCs/>
          <w:sz w:val="32"/>
          <w:szCs w:val="32"/>
        </w:rPr>
        <w:t>条</w:t>
      </w:r>
      <w:r>
        <w:rPr>
          <w:rFonts w:hint="eastAsia" w:ascii="仿宋_GB2312" w:eastAsia="仿宋_GB2312"/>
          <w:b w:val="0"/>
          <w:bCs/>
          <w:sz w:val="32"/>
          <w:szCs w:val="32"/>
        </w:rPr>
        <w:t xml:space="preserve"> 市政务服务数据管理局应对容缺受理运行情况进行监督，定期组织开展容缺受理运行情况的专项督查，考核各政务服务部门容缺受理的办件量、退件率、容缺材料的数量等相关数据指标；对失职延误、推诿扯皮的各政务服务部门相关人员，按照有关规定进行处理，并将容缺受理工作开展运行情况纳入年度目标管理考核。</w:t>
      </w:r>
    </w:p>
    <w:p>
      <w:pPr>
        <w:keepNext w:val="0"/>
        <w:keepLines w:val="0"/>
        <w:pageBreakBefore w:val="0"/>
        <w:kinsoku/>
        <w:wordWrap/>
        <w:overflowPunct/>
        <w:topLinePunct w:val="0"/>
        <w:autoSpaceDE/>
        <w:autoSpaceDN/>
        <w:bidi w:val="0"/>
        <w:spacing w:line="600" w:lineRule="exact"/>
        <w:ind w:left="0" w:leftChars="0" w:right="0" w:rightChars="0" w:firstLine="640" w:firstLineChars="200"/>
        <w:textAlignment w:val="auto"/>
        <w:rPr>
          <w:rFonts w:hint="eastAsia" w:ascii="仿宋_GB2312" w:eastAsia="仿宋_GB2312"/>
          <w:b w:val="0"/>
          <w:bCs/>
          <w:sz w:val="32"/>
          <w:szCs w:val="32"/>
          <w:lang w:val="en-US" w:eastAsia="zh-CN"/>
        </w:rPr>
      </w:pPr>
      <w:r>
        <w:rPr>
          <w:rFonts w:hint="eastAsia" w:ascii="黑体" w:hAnsi="黑体" w:eastAsia="黑体"/>
          <w:b w:val="0"/>
          <w:bCs/>
          <w:sz w:val="32"/>
          <w:szCs w:val="32"/>
        </w:rPr>
        <w:t>第十</w:t>
      </w:r>
      <w:r>
        <w:rPr>
          <w:rFonts w:hint="eastAsia" w:ascii="黑体" w:hAnsi="黑体" w:eastAsia="黑体"/>
          <w:b w:val="0"/>
          <w:bCs/>
          <w:sz w:val="32"/>
          <w:szCs w:val="32"/>
          <w:lang w:val="en-US" w:eastAsia="zh-CN"/>
        </w:rPr>
        <w:t>六</w:t>
      </w:r>
      <w:r>
        <w:rPr>
          <w:rFonts w:hint="eastAsia" w:ascii="黑体" w:hAnsi="黑体" w:eastAsia="黑体"/>
          <w:b w:val="0"/>
          <w:bCs/>
          <w:sz w:val="32"/>
          <w:szCs w:val="32"/>
        </w:rPr>
        <w:t>条</w:t>
      </w:r>
      <w:r>
        <w:rPr>
          <w:rFonts w:hint="eastAsia" w:ascii="仿宋_GB2312" w:eastAsia="仿宋_GB2312"/>
          <w:b w:val="0"/>
          <w:bCs/>
          <w:sz w:val="32"/>
          <w:szCs w:val="32"/>
        </w:rPr>
        <w:t xml:space="preserve"> 本</w:t>
      </w:r>
      <w:r>
        <w:rPr>
          <w:rFonts w:hint="eastAsia" w:ascii="仿宋_GB2312" w:eastAsia="仿宋_GB2312"/>
          <w:b w:val="0"/>
          <w:bCs/>
          <w:sz w:val="32"/>
          <w:szCs w:val="32"/>
          <w:lang w:eastAsia="zh-CN"/>
        </w:rPr>
        <w:t>办法</w:t>
      </w:r>
      <w:r>
        <w:rPr>
          <w:rFonts w:hint="eastAsia" w:ascii="仿宋_GB2312" w:eastAsia="仿宋_GB2312"/>
          <w:b w:val="0"/>
          <w:bCs/>
          <w:sz w:val="32"/>
          <w:szCs w:val="32"/>
        </w:rPr>
        <w:t>由市政务服务</w:t>
      </w:r>
      <w:r>
        <w:rPr>
          <w:rFonts w:hint="eastAsia" w:ascii="仿宋_GB2312" w:eastAsia="仿宋_GB2312"/>
          <w:b w:val="0"/>
          <w:bCs/>
          <w:sz w:val="32"/>
          <w:szCs w:val="32"/>
          <w:lang w:val="en-US" w:eastAsia="zh-CN"/>
        </w:rPr>
        <w:t>数据管理局</w:t>
      </w:r>
      <w:r>
        <w:rPr>
          <w:rFonts w:hint="eastAsia" w:ascii="仿宋_GB2312" w:eastAsia="仿宋_GB2312"/>
          <w:b w:val="0"/>
          <w:bCs/>
          <w:sz w:val="32"/>
          <w:szCs w:val="32"/>
        </w:rPr>
        <w:t>负责解释，印发之日起</w:t>
      </w:r>
      <w:r>
        <w:rPr>
          <w:rFonts w:hint="eastAsia" w:ascii="仿宋_GB2312" w:eastAsia="仿宋_GB2312"/>
          <w:b w:val="0"/>
          <w:bCs/>
          <w:sz w:val="32"/>
          <w:szCs w:val="32"/>
          <w:lang w:val="en-US" w:eastAsia="zh-CN"/>
        </w:rPr>
        <w:t>实施，试用期2年。</w:t>
      </w:r>
    </w:p>
    <w:p>
      <w:pPr>
        <w:keepNext w:val="0"/>
        <w:keepLines w:val="0"/>
        <w:pageBreakBefore w:val="0"/>
        <w:kinsoku/>
        <w:wordWrap/>
        <w:overflowPunct/>
        <w:topLinePunct w:val="0"/>
        <w:autoSpaceDE/>
        <w:autoSpaceDN/>
        <w:bidi w:val="0"/>
        <w:spacing w:line="600" w:lineRule="exact"/>
        <w:ind w:left="0" w:leftChars="0" w:right="0" w:rightChars="0"/>
        <w:textAlignment w:val="auto"/>
        <w:rPr>
          <w:rFonts w:ascii="仿宋_GB2312" w:eastAsia="仿宋_GB2312"/>
          <w:b w:val="0"/>
          <w:bCs/>
          <w:sz w:val="32"/>
          <w:szCs w:val="32"/>
        </w:rPr>
      </w:pPr>
    </w:p>
    <w:p>
      <w:pPr>
        <w:keepNext w:val="0"/>
        <w:keepLines w:val="0"/>
        <w:pageBreakBefore w:val="0"/>
        <w:kinsoku/>
        <w:wordWrap/>
        <w:overflowPunct/>
        <w:topLinePunct w:val="0"/>
        <w:autoSpaceDE/>
        <w:autoSpaceDN/>
        <w:bidi w:val="0"/>
        <w:spacing w:line="600" w:lineRule="exact"/>
        <w:ind w:left="0" w:leftChars="0" w:right="0" w:rightChars="0"/>
        <w:textAlignment w:val="auto"/>
        <w:rPr>
          <w:rFonts w:ascii="仿宋_GB2312" w:eastAsia="仿宋_GB2312"/>
          <w:b w:val="0"/>
          <w:bCs/>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firstLine="643"/>
        <w:jc w:val="left"/>
        <w:textAlignment w:val="auto"/>
        <w:rPr>
          <w:rFonts w:hint="eastAsia" w:ascii="仿宋_GB2312" w:hAnsi="Times New Roman" w:eastAsia="仿宋_GB2312" w:cs="Times New Roman"/>
          <w:b w:val="0"/>
          <w:bCs/>
          <w:color w:val="000000"/>
          <w:kern w:val="0"/>
          <w:sz w:val="32"/>
          <w:szCs w:val="32"/>
        </w:rPr>
      </w:pPr>
      <w:r>
        <w:rPr>
          <w:rFonts w:hint="eastAsia" w:ascii="仿宋_GB2312" w:hAnsi="Times New Roman" w:eastAsia="仿宋_GB2312" w:cs="Times New Roman"/>
          <w:b w:val="0"/>
          <w:bCs/>
          <w:color w:val="000000"/>
          <w:kern w:val="0"/>
          <w:sz w:val="32"/>
          <w:szCs w:val="32"/>
        </w:rPr>
        <w:t>附件：</w:t>
      </w:r>
      <w:r>
        <w:rPr>
          <w:rFonts w:hint="eastAsia" w:ascii="仿宋_GB2312" w:hAnsi="Times New Roman" w:eastAsia="仿宋_GB2312" w:cs="Times New Roman"/>
          <w:b w:val="0"/>
          <w:bCs/>
          <w:color w:val="000000"/>
          <w:kern w:val="0"/>
          <w:sz w:val="32"/>
          <w:szCs w:val="32"/>
          <w:lang w:val="en-US" w:eastAsia="zh-CN"/>
        </w:rPr>
        <w:t>1.</w:t>
      </w:r>
      <w:r>
        <w:rPr>
          <w:rFonts w:hint="eastAsia" w:ascii="仿宋_GB2312" w:hAnsi="Times New Roman" w:eastAsia="仿宋_GB2312" w:cs="Times New Roman"/>
          <w:b w:val="0"/>
          <w:bCs/>
          <w:color w:val="000000"/>
          <w:kern w:val="0"/>
          <w:sz w:val="32"/>
          <w:szCs w:val="32"/>
        </w:rPr>
        <w:t>容缺受理承诺书</w:t>
      </w:r>
      <w:bookmarkStart w:id="0" w:name="_GoBack"/>
      <w:bookmarkEnd w:id="0"/>
    </w:p>
    <w:p>
      <w:pPr>
        <w:keepNext w:val="0"/>
        <w:keepLines w:val="0"/>
        <w:pageBreakBefore w:val="0"/>
        <w:widowControl/>
        <w:kinsoku/>
        <w:wordWrap/>
        <w:overflowPunct/>
        <w:topLinePunct w:val="0"/>
        <w:autoSpaceDE/>
        <w:autoSpaceDN/>
        <w:bidi w:val="0"/>
        <w:spacing w:line="600" w:lineRule="exact"/>
        <w:ind w:left="0" w:leftChars="0" w:right="0" w:rightChars="0" w:firstLine="643"/>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firstLine="643"/>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firstLine="643"/>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firstLine="643"/>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firstLine="643"/>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firstLine="643"/>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rPr>
          <w:rFonts w:hint="eastAsia" w:ascii="仿宋_GB2312" w:hAnsi="Times New Roman" w:eastAsia="仿宋_GB2312" w:cs="Times New Roman"/>
          <w:b w:val="0"/>
          <w:bCs/>
          <w:color w:val="000000"/>
          <w:kern w:val="0"/>
          <w:sz w:val="32"/>
          <w:szCs w:val="32"/>
        </w:rPr>
      </w:pPr>
    </w:p>
    <w:p>
      <w:pPr>
        <w:keepNext w:val="0"/>
        <w:keepLines w:val="0"/>
        <w:pageBreakBefore w:val="0"/>
        <w:widowControl/>
        <w:kinsoku/>
        <w:wordWrap/>
        <w:overflowPunct/>
        <w:topLinePunct w:val="0"/>
        <w:autoSpaceDE/>
        <w:autoSpaceDN/>
        <w:bidi w:val="0"/>
        <w:spacing w:line="600" w:lineRule="exact"/>
        <w:ind w:left="0" w:leftChars="0" w:right="0" w:rightChars="0"/>
        <w:jc w:val="left"/>
        <w:textAlignment w:val="auto"/>
        <w:rPr>
          <w:rFonts w:hint="eastAsia" w:ascii="仿宋_GB2312" w:hAnsi="Times New Roman" w:eastAsia="仿宋_GB2312" w:cs="Times New Roman"/>
          <w:b w:val="0"/>
          <w:bCs/>
          <w:color w:val="000000"/>
          <w:kern w:val="0"/>
          <w:sz w:val="32"/>
          <w:szCs w:val="32"/>
        </w:rPr>
      </w:pPr>
    </w:p>
    <w:p>
      <w:pPr>
        <w:pStyle w:val="4"/>
        <w:keepNext w:val="0"/>
        <w:keepLines w:val="0"/>
        <w:pageBreakBefore w:val="0"/>
        <w:kinsoku/>
        <w:wordWrap/>
        <w:overflowPunct/>
        <w:topLinePunct w:val="0"/>
        <w:autoSpaceDE/>
        <w:autoSpaceDN/>
        <w:bidi w:val="0"/>
        <w:spacing w:after="0" w:line="600" w:lineRule="exact"/>
        <w:ind w:right="0" w:rightChars="0"/>
        <w:jc w:val="both"/>
        <w:textAlignment w:val="auto"/>
        <w:rPr>
          <w:rFonts w:hint="eastAsia" w:ascii="黑体" w:hAnsi="黑体" w:eastAsia="黑体"/>
          <w:b w:val="0"/>
          <w:bCs/>
          <w:color w:val="000000"/>
          <w:sz w:val="32"/>
          <w:szCs w:val="32"/>
          <w:lang w:val="en-US" w:eastAsia="zh-CN"/>
        </w:rPr>
      </w:pPr>
      <w:r>
        <w:rPr>
          <w:rFonts w:hint="eastAsia" w:ascii="黑体" w:hAnsi="黑体" w:eastAsia="黑体"/>
          <w:b w:val="0"/>
          <w:bCs/>
          <w:color w:val="000000"/>
          <w:sz w:val="32"/>
          <w:szCs w:val="32"/>
        </w:rPr>
        <w:t>附件</w:t>
      </w:r>
      <w:r>
        <w:rPr>
          <w:rFonts w:hint="eastAsia" w:ascii="黑体" w:hAnsi="黑体" w:eastAsia="黑体"/>
          <w:b w:val="0"/>
          <w:bCs/>
          <w:color w:val="000000"/>
          <w:sz w:val="32"/>
          <w:szCs w:val="32"/>
          <w:lang w:val="en-US" w:eastAsia="zh-CN"/>
        </w:rPr>
        <w:t>1：</w:t>
      </w:r>
    </w:p>
    <w:p>
      <w:pPr>
        <w:pStyle w:val="4"/>
        <w:keepNext w:val="0"/>
        <w:keepLines w:val="0"/>
        <w:pageBreakBefore w:val="0"/>
        <w:kinsoku/>
        <w:wordWrap/>
        <w:overflowPunct/>
        <w:topLinePunct w:val="0"/>
        <w:autoSpaceDE/>
        <w:autoSpaceDN/>
        <w:bidi w:val="0"/>
        <w:spacing w:after="0" w:line="600" w:lineRule="exact"/>
        <w:ind w:left="0" w:leftChars="0" w:right="0" w:rightChars="0"/>
        <w:jc w:val="center"/>
        <w:textAlignment w:val="auto"/>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容缺受理承诺书</w:t>
      </w:r>
    </w:p>
    <w:tbl>
      <w:tblPr>
        <w:tblStyle w:val="12"/>
        <w:tblpPr w:leftFromText="180" w:rightFromText="180" w:vertAnchor="text" w:horzAnchor="page" w:tblpXSpec="center" w:tblpY="48"/>
        <w:tblOverlap w:val="never"/>
        <w:tblW w:w="8854" w:type="dxa"/>
        <w:jc w:val="center"/>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1480"/>
        <w:gridCol w:w="643"/>
        <w:gridCol w:w="1276"/>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2311" w:type="dxa"/>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申请人/申请单位</w:t>
            </w:r>
          </w:p>
        </w:tc>
        <w:tc>
          <w:tcPr>
            <w:tcW w:w="2123" w:type="dxa"/>
            <w:gridSpan w:val="2"/>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p>
        </w:tc>
        <w:tc>
          <w:tcPr>
            <w:tcW w:w="1276" w:type="dxa"/>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电话</w:t>
            </w:r>
          </w:p>
        </w:tc>
        <w:tc>
          <w:tcPr>
            <w:tcW w:w="3144" w:type="dxa"/>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2311" w:type="dxa"/>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center"/>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申请事项名称</w:t>
            </w:r>
          </w:p>
        </w:tc>
        <w:tc>
          <w:tcPr>
            <w:tcW w:w="6543" w:type="dxa"/>
            <w:gridSpan w:val="4"/>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9" w:hRule="atLeast"/>
          <w:jc w:val="center"/>
        </w:trPr>
        <w:tc>
          <w:tcPr>
            <w:tcW w:w="8854" w:type="dxa"/>
            <w:gridSpan w:val="5"/>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申报单位承诺补齐的材料：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3791" w:type="dxa"/>
            <w:gridSpan w:val="2"/>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申报单位承诺补齐的时限</w:t>
            </w:r>
          </w:p>
        </w:tc>
        <w:tc>
          <w:tcPr>
            <w:tcW w:w="5063" w:type="dxa"/>
            <w:gridSpan w:val="3"/>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8854" w:type="dxa"/>
            <w:gridSpan w:val="5"/>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容缺材料逾期未补齐补正的后果： </w:t>
            </w:r>
          </w:p>
          <w:p>
            <w:pPr>
              <w:pStyle w:val="4"/>
              <w:keepNext w:val="0"/>
              <w:keepLines w:val="0"/>
              <w:pageBreakBefore w:val="0"/>
              <w:widowControl/>
              <w:numPr>
                <w:ilvl w:val="0"/>
                <w:numId w:val="1"/>
              </w:numPr>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因故无法补交补正容缺受理材料，容缺受理政务服务事项应当终止办理，按退件流程办结。</w:t>
            </w:r>
          </w:p>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2、由此产生的法律责任和相关责任由申请人/申请单位承担。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9" w:hRule="atLeast"/>
          <w:jc w:val="center"/>
        </w:trPr>
        <w:tc>
          <w:tcPr>
            <w:tcW w:w="8854" w:type="dxa"/>
            <w:gridSpan w:val="5"/>
            <w:vAlign w:val="top"/>
          </w:tcPr>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480" w:firstLineChars="200"/>
              <w:jc w:val="both"/>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本人/本单位承诺，所作承诺是申请人/申请单位真实意思表示，已经知晓服务窗口人员告知的全部内容，提供的所有申请材料真实有效，在承诺期限内补正容缺受理材料，由此产生的法律责任和相关责任由申请人/申请单位承担。</w:t>
            </w:r>
          </w:p>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rPr>
            </w:pPr>
          </w:p>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400"/>
              <w:jc w:val="both"/>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申请人</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lang w:val="en-US" w:eastAsia="zh-CN"/>
              </w:rPr>
              <w:t>签字</w:t>
            </w:r>
            <w:r>
              <w:rPr>
                <w:rFonts w:hint="eastAsia" w:ascii="仿宋_GB2312" w:hAnsi="仿宋_GB2312" w:eastAsia="仿宋_GB2312" w:cs="仿宋_GB2312"/>
                <w:b w:val="0"/>
                <w:bCs/>
                <w:sz w:val="24"/>
                <w:szCs w:val="24"/>
                <w:lang w:eastAsia="zh-CN"/>
              </w:rPr>
              <w:t>）</w:t>
            </w:r>
            <w:r>
              <w:rPr>
                <w:rFonts w:hint="eastAsia" w:ascii="仿宋_GB2312" w:hAnsi="仿宋_GB2312" w:eastAsia="仿宋_GB2312" w:cs="仿宋_GB2312"/>
                <w:b w:val="0"/>
                <w:bCs/>
                <w:sz w:val="24"/>
                <w:szCs w:val="24"/>
              </w:rPr>
              <w:t>：</w:t>
            </w:r>
          </w:p>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jc w:val="both"/>
              <w:textAlignment w:val="auto"/>
              <w:outlineLvl w:val="9"/>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 xml:space="preserve">                       申请单位（法定代表人/授权代表签字或单位盖章）：</w:t>
            </w:r>
          </w:p>
          <w:p>
            <w:pPr>
              <w:pStyle w:val="4"/>
              <w:keepNext w:val="0"/>
              <w:keepLines w:val="0"/>
              <w:pageBreakBefore w:val="0"/>
              <w:widowControl/>
              <w:kinsoku/>
              <w:wordWrap/>
              <w:overflowPunct/>
              <w:topLinePunct w:val="0"/>
              <w:autoSpaceDE/>
              <w:autoSpaceDN/>
              <w:bidi w:val="0"/>
              <w:adjustRightInd/>
              <w:snapToGrid/>
              <w:spacing w:after="0" w:line="400" w:lineRule="exact"/>
              <w:ind w:left="0" w:leftChars="0" w:right="0" w:rightChars="0" w:firstLine="400"/>
              <w:jc w:val="both"/>
              <w:textAlignment w:val="auto"/>
              <w:outlineLvl w:val="9"/>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 xml:space="preserve">                                                    年    月    日</w:t>
            </w:r>
          </w:p>
        </w:tc>
      </w:tr>
    </w:tbl>
    <w:p>
      <w:pPr>
        <w:pStyle w:val="4"/>
        <w:keepNext w:val="0"/>
        <w:keepLines w:val="0"/>
        <w:pageBreakBefore w:val="0"/>
        <w:kinsoku/>
        <w:wordWrap/>
        <w:overflowPunct/>
        <w:topLinePunct w:val="0"/>
        <w:autoSpaceDE/>
        <w:autoSpaceDN/>
        <w:bidi w:val="0"/>
        <w:spacing w:after="0" w:line="600" w:lineRule="exact"/>
        <w:ind w:left="0" w:leftChars="0" w:right="0" w:rightChars="0"/>
        <w:jc w:val="both"/>
        <w:textAlignment w:val="auto"/>
        <w:rPr>
          <w:rFonts w:hint="eastAsia" w:ascii="仿宋_GB2312" w:hAnsi="仿宋_GB2312" w:eastAsia="仿宋_GB2312" w:cs="仿宋_GB2312"/>
          <w:b w:val="0"/>
          <w:bCs/>
          <w:color w:val="000000"/>
          <w:sz w:val="24"/>
          <w:szCs w:val="24"/>
        </w:rPr>
      </w:pPr>
      <w:r>
        <w:rPr>
          <w:rFonts w:hint="eastAsia" w:ascii="仿宋_GB2312" w:hAnsi="仿宋_GB2312" w:eastAsia="仿宋_GB2312" w:cs="仿宋_GB2312"/>
          <w:b w:val="0"/>
          <w:bCs/>
          <w:sz w:val="24"/>
          <w:szCs w:val="24"/>
        </w:rPr>
        <w:t>注：一式2份；1份当场交</w:t>
      </w:r>
      <w:r>
        <w:rPr>
          <w:rFonts w:hint="eastAsia" w:ascii="仿宋_GB2312" w:hAnsi="仿宋_GB2312" w:eastAsia="仿宋_GB2312" w:cs="仿宋_GB2312"/>
          <w:b w:val="0"/>
          <w:bCs/>
          <w:sz w:val="24"/>
          <w:szCs w:val="24"/>
          <w:lang w:val="en-US" w:eastAsia="zh-CN"/>
        </w:rPr>
        <w:t>于</w:t>
      </w:r>
      <w:r>
        <w:rPr>
          <w:rFonts w:hint="eastAsia" w:ascii="仿宋_GB2312" w:hAnsi="仿宋_GB2312" w:eastAsia="仿宋_GB2312" w:cs="仿宋_GB2312"/>
          <w:b w:val="0"/>
          <w:bCs/>
          <w:sz w:val="24"/>
          <w:szCs w:val="24"/>
        </w:rPr>
        <w:t>服务对象，1份存档备查</w:t>
      </w:r>
    </w:p>
    <w:p>
      <w:pPr>
        <w:keepNext w:val="0"/>
        <w:keepLines w:val="0"/>
        <w:pageBreakBefore w:val="0"/>
        <w:kinsoku/>
        <w:wordWrap/>
        <w:overflowPunct/>
        <w:topLinePunct w:val="0"/>
        <w:autoSpaceDE/>
        <w:autoSpaceDN/>
        <w:bidi w:val="0"/>
        <w:adjustRightInd w:val="0"/>
        <w:snapToGrid w:val="0"/>
        <w:spacing w:line="600" w:lineRule="exact"/>
        <w:ind w:left="0" w:leftChars="0" w:right="0" w:rightChars="0"/>
        <w:textAlignment w:val="auto"/>
        <w:rPr>
          <w:b w:val="0"/>
          <w:bCs/>
        </w:rPr>
      </w:pP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1B66D"/>
    <w:multiLevelType w:val="singleLevel"/>
    <w:tmpl w:val="8951B66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C"/>
    <w:rsid w:val="00054651"/>
    <w:rsid w:val="000816A3"/>
    <w:rsid w:val="000B486D"/>
    <w:rsid w:val="00114B98"/>
    <w:rsid w:val="00185CC6"/>
    <w:rsid w:val="00196DB1"/>
    <w:rsid w:val="002E384E"/>
    <w:rsid w:val="002F2D0B"/>
    <w:rsid w:val="00313702"/>
    <w:rsid w:val="00344FC6"/>
    <w:rsid w:val="0040372F"/>
    <w:rsid w:val="00542EC4"/>
    <w:rsid w:val="005A67B6"/>
    <w:rsid w:val="005B0FE9"/>
    <w:rsid w:val="00611A26"/>
    <w:rsid w:val="006C5808"/>
    <w:rsid w:val="00710C85"/>
    <w:rsid w:val="007B6F64"/>
    <w:rsid w:val="007E297C"/>
    <w:rsid w:val="007F15B1"/>
    <w:rsid w:val="008359DA"/>
    <w:rsid w:val="009665DE"/>
    <w:rsid w:val="009C49CD"/>
    <w:rsid w:val="009D23E5"/>
    <w:rsid w:val="00A71728"/>
    <w:rsid w:val="00A72F77"/>
    <w:rsid w:val="00AC5C65"/>
    <w:rsid w:val="00AE4F1E"/>
    <w:rsid w:val="00B1129C"/>
    <w:rsid w:val="00B476EB"/>
    <w:rsid w:val="00B627E1"/>
    <w:rsid w:val="00BA1BEC"/>
    <w:rsid w:val="00C07407"/>
    <w:rsid w:val="00C73AF1"/>
    <w:rsid w:val="00D1494F"/>
    <w:rsid w:val="00DE1B80"/>
    <w:rsid w:val="00DF783A"/>
    <w:rsid w:val="00E37F37"/>
    <w:rsid w:val="00FF161C"/>
    <w:rsid w:val="012B0BE2"/>
    <w:rsid w:val="0378528F"/>
    <w:rsid w:val="04293478"/>
    <w:rsid w:val="068B487E"/>
    <w:rsid w:val="07427260"/>
    <w:rsid w:val="07E923C6"/>
    <w:rsid w:val="083D42BE"/>
    <w:rsid w:val="0B2D57E4"/>
    <w:rsid w:val="0BC011D6"/>
    <w:rsid w:val="0EB3131E"/>
    <w:rsid w:val="0EE72775"/>
    <w:rsid w:val="101D051D"/>
    <w:rsid w:val="13483981"/>
    <w:rsid w:val="13E207AB"/>
    <w:rsid w:val="166939F9"/>
    <w:rsid w:val="19B16A10"/>
    <w:rsid w:val="1A077076"/>
    <w:rsid w:val="1ADD6776"/>
    <w:rsid w:val="1E573BF7"/>
    <w:rsid w:val="20691D16"/>
    <w:rsid w:val="21563586"/>
    <w:rsid w:val="223D5C2A"/>
    <w:rsid w:val="23B10866"/>
    <w:rsid w:val="24031103"/>
    <w:rsid w:val="246841D9"/>
    <w:rsid w:val="25132F6B"/>
    <w:rsid w:val="257E5802"/>
    <w:rsid w:val="25826BBE"/>
    <w:rsid w:val="28994E32"/>
    <w:rsid w:val="289B5C61"/>
    <w:rsid w:val="2C027FE4"/>
    <w:rsid w:val="2CF11341"/>
    <w:rsid w:val="2F1D72C0"/>
    <w:rsid w:val="32DC4413"/>
    <w:rsid w:val="358C1BEA"/>
    <w:rsid w:val="362E6903"/>
    <w:rsid w:val="36473A57"/>
    <w:rsid w:val="36DF44C5"/>
    <w:rsid w:val="396754A6"/>
    <w:rsid w:val="3971798A"/>
    <w:rsid w:val="39E74478"/>
    <w:rsid w:val="3D2D32EB"/>
    <w:rsid w:val="3E212964"/>
    <w:rsid w:val="3F0721F0"/>
    <w:rsid w:val="3F4E2125"/>
    <w:rsid w:val="40190EBC"/>
    <w:rsid w:val="415912AD"/>
    <w:rsid w:val="441C30AC"/>
    <w:rsid w:val="45006929"/>
    <w:rsid w:val="45F11535"/>
    <w:rsid w:val="45F83A08"/>
    <w:rsid w:val="461F39E1"/>
    <w:rsid w:val="471B7B7F"/>
    <w:rsid w:val="492D78F8"/>
    <w:rsid w:val="4A0B0DA5"/>
    <w:rsid w:val="4C7F0640"/>
    <w:rsid w:val="4F4615DE"/>
    <w:rsid w:val="4F4C093B"/>
    <w:rsid w:val="4FBD4944"/>
    <w:rsid w:val="4FBE54EE"/>
    <w:rsid w:val="508F1FF7"/>
    <w:rsid w:val="510B7567"/>
    <w:rsid w:val="530D38BC"/>
    <w:rsid w:val="541603AD"/>
    <w:rsid w:val="5432748B"/>
    <w:rsid w:val="547D1AFC"/>
    <w:rsid w:val="54B840C7"/>
    <w:rsid w:val="56222FAB"/>
    <w:rsid w:val="56471A47"/>
    <w:rsid w:val="56565E8B"/>
    <w:rsid w:val="59DE06B8"/>
    <w:rsid w:val="5C9E2CAA"/>
    <w:rsid w:val="5CA32EC5"/>
    <w:rsid w:val="5CB7524C"/>
    <w:rsid w:val="5D980D61"/>
    <w:rsid w:val="5F471280"/>
    <w:rsid w:val="626D3096"/>
    <w:rsid w:val="62E24CD8"/>
    <w:rsid w:val="63941171"/>
    <w:rsid w:val="649115B8"/>
    <w:rsid w:val="65E27416"/>
    <w:rsid w:val="65F14156"/>
    <w:rsid w:val="66B61C53"/>
    <w:rsid w:val="68202FA6"/>
    <w:rsid w:val="68B85F71"/>
    <w:rsid w:val="6B127CA8"/>
    <w:rsid w:val="6BCC6AFE"/>
    <w:rsid w:val="6BDE2A71"/>
    <w:rsid w:val="6C056955"/>
    <w:rsid w:val="74B862EB"/>
    <w:rsid w:val="757278F9"/>
    <w:rsid w:val="7716527F"/>
    <w:rsid w:val="776021E9"/>
    <w:rsid w:val="7AC229D3"/>
    <w:rsid w:val="7D39571C"/>
    <w:rsid w:val="7E1E5725"/>
    <w:rsid w:val="7F9719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pPr>
      <w:jc w:val="left"/>
    </w:pPr>
  </w:style>
  <w:style w:type="paragraph" w:styleId="4">
    <w:name w:val="Body Text"/>
    <w:basedOn w:val="1"/>
    <w:qFormat/>
    <w:uiPriority w:val="0"/>
    <w:pPr>
      <w:widowControl/>
      <w:spacing w:after="240"/>
      <w:jc w:val="left"/>
    </w:pPr>
    <w:rPr>
      <w:rFonts w:ascii="Arial" w:hAnsi="Arial" w:eastAsia="宋体" w:cs="Times New Roman"/>
      <w:kern w:val="0"/>
      <w:sz w:val="20"/>
    </w:rPr>
  </w:style>
  <w:style w:type="paragraph" w:styleId="5">
    <w:name w:val="Balloon Text"/>
    <w:basedOn w:val="1"/>
    <w:link w:val="17"/>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unhideWhenUsed/>
    <w:qFormat/>
    <w:uiPriority w:val="99"/>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Char"/>
    <w:basedOn w:val="9"/>
    <w:link w:val="7"/>
    <w:qFormat/>
    <w:uiPriority w:val="99"/>
    <w:rPr>
      <w:sz w:val="18"/>
      <w:szCs w:val="18"/>
    </w:rPr>
  </w:style>
  <w:style w:type="character" w:customStyle="1" w:styleId="14">
    <w:name w:val="页脚 Char"/>
    <w:basedOn w:val="9"/>
    <w:link w:val="6"/>
    <w:qFormat/>
    <w:uiPriority w:val="99"/>
    <w:rPr>
      <w:sz w:val="18"/>
      <w:szCs w:val="18"/>
    </w:rPr>
  </w:style>
  <w:style w:type="character" w:customStyle="1" w:styleId="15">
    <w:name w:val="批注文字 Char"/>
    <w:basedOn w:val="9"/>
    <w:link w:val="3"/>
    <w:semiHidden/>
    <w:qFormat/>
    <w:uiPriority w:val="99"/>
    <w:rPr>
      <w:rFonts w:asciiTheme="minorHAnsi" w:hAnsiTheme="minorHAnsi" w:eastAsiaTheme="minorEastAsia" w:cstheme="minorBidi"/>
      <w:kern w:val="2"/>
      <w:sz w:val="21"/>
      <w:szCs w:val="22"/>
    </w:rPr>
  </w:style>
  <w:style w:type="character" w:customStyle="1" w:styleId="16">
    <w:name w:val="批注主题 Char"/>
    <w:basedOn w:val="15"/>
    <w:link w:val="2"/>
    <w:semiHidden/>
    <w:qFormat/>
    <w:uiPriority w:val="99"/>
    <w:rPr>
      <w:rFonts w:asciiTheme="minorHAnsi" w:hAnsiTheme="minorHAnsi" w:eastAsiaTheme="minorEastAsia" w:cstheme="minorBidi"/>
      <w:b/>
      <w:bCs/>
      <w:kern w:val="2"/>
      <w:sz w:val="21"/>
      <w:szCs w:val="22"/>
    </w:rPr>
  </w:style>
  <w:style w:type="character" w:customStyle="1" w:styleId="17">
    <w:name w:val="批注框文本 Char"/>
    <w:basedOn w:val="9"/>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345</Words>
  <Characters>1968</Characters>
  <Lines>16</Lines>
  <Paragraphs>4</Paragraphs>
  <ScaleCrop>false</ScaleCrop>
  <LinksUpToDate>false</LinksUpToDate>
  <CharactersWithSpaces>2309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2018-12-17T01:44:00Z</dcterms:created>
  <dc:creator>asus</dc:creator>
  <cp:lastModifiedBy>胡裕彬</cp:lastModifiedBy>
  <dcterms:modified xsi:type="dcterms:W3CDTF">2019-04-11T02:31:15Z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